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 LA CULTURE DE SOIGNER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MM07900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 Co ou Deputy Med Co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Manager Culture de Soigner (Siège)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Diriger la mise en œuvre du programme Culture de Soigner dans le cadre d'un projet pilote/d'une mission en réalisant des évaluations, en animant des ateliers, en coordonnant les activités de suivi et en collaborant avec les équipes. Ce poste renforce les interactions solidaires, sécurisantes et bienveillantes entre le personnel, les patients et les soignants, contribuant ainsi à l'amélioration de la qualité des soins, à la protection des personnes, à des approches centrées sur les personnes et au bien-être du personnel.</w:t>
            </w:r>
          </w:p>
          <w:p>
            <w:pPr>
              <w:pStyle w:val="Paragraph"/>
            </w:pPr>
            <w:r>
              <w:t xml:space="preserve">NB : Pour atteindre ces objectifs, le/la responsable de la Culture de soigner bénéficiera d’une initiation et d’une formation spécifiques. Il/elle aura l’occasion de perfectionner ses compétences pour animer des ateliers expérientiels, des espaces de réflexion et de discussion sur des sujets sensibles, tels que les relations de soins avec les patients en situation critique; ainsi que de participer activement à la communauté de pratique de la Culture de soigner.</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Diriger et mettre en œuvre l'ensemble du programme Culture de soigner (CoC) — y compris les évaluations, les ateliers, les activités de suivi et la surveillance — afin de renforcer les pratiques relationnelles de soutien dans le cadre du projet.</w:t>
            </w:r>
          </w:p>
          <w:p>
            <w:pPr>
              <w:pStyle w:val="ListBullet"/>
              <w:numPr>
                <w:ilvl w:val="0"/>
                <w:numId w:val="17"/>
              </w:numPr>
            </w:pPr>
            <w:r>
              <w:t xml:space="preserve">Réaliser des évaluations initiales, de suivi et finales, avec méthodes mixtes auprès du personnel et des patients/soignants, en utilisant les outils et protocoles CoC approuvés.</w:t>
            </w:r>
          </w:p>
          <w:p>
            <w:pPr>
              <w:pStyle w:val="ListBullet"/>
              <w:numPr>
                <w:ilvl w:val="0"/>
                <w:numId w:val="17"/>
              </w:numPr>
            </w:pPr>
            <w:r>
              <w:t xml:space="preserve">Organiser, collecter et superviser la collecte et l'analyse des données relatives aux activités CoC.</w:t>
            </w:r>
          </w:p>
          <w:p>
            <w:pPr>
              <w:pStyle w:val="ListBullet"/>
              <w:numPr>
                <w:ilvl w:val="0"/>
                <w:numId w:val="17"/>
              </w:numPr>
            </w:pPr>
            <w:r>
              <w:t xml:space="preserve">Analyser les données qualitatives et quantitatives, resultats des évaluations et des ateliers afin d’identifier les priorités, les progrès, les changements de comportement et les domaines à améliorer.</w:t>
            </w:r>
          </w:p>
          <w:p>
            <w:pPr>
              <w:pStyle w:val="ListBullet"/>
              <w:numPr>
                <w:ilvl w:val="0"/>
                <w:numId w:val="17"/>
              </w:numPr>
            </w:pPr>
            <w:r>
              <w:t xml:space="preserve">Élaborer des plans d'action adaptés au contexte avec les équipes de projet, en veillant à leur intégration dans les pratiques cliniques, managériales et opérationnelles courantes.</w:t>
            </w:r>
          </w:p>
          <w:p>
            <w:pPr>
              <w:pStyle w:val="ListBullet"/>
              <w:numPr>
                <w:ilvl w:val="0"/>
                <w:numId w:val="17"/>
              </w:numPr>
            </w:pPr>
            <w:r>
              <w:t xml:space="preserve">Adapter les méthodologies et les activités CoC aux réalités culturelles, opérationnelles, contextuelles et cliniques de chaque projet afin d'en garantir la pertinence et la pertinence.</w:t>
            </w:r>
          </w:p>
          <w:p>
            <w:pPr>
              <w:pStyle w:val="ListBullet"/>
              <w:numPr>
                <w:ilvl w:val="0"/>
                <w:numId w:val="17"/>
              </w:numPr>
            </w:pPr>
            <w:r>
              <w:t xml:space="preserve">Coordonner la planification, la logistique et la mobilisation des ressources pour les ateliers, les évaluations et les séances de suivi du CoC afin d’assurer une mise en œuvre fluide.</w:t>
            </w:r>
          </w:p>
          <w:p>
            <w:pPr>
              <w:pStyle w:val="ListBullet"/>
              <w:numPr>
                <w:ilvl w:val="0"/>
                <w:numId w:val="17"/>
              </w:numPr>
            </w:pPr>
            <w:r>
              <w:t xml:space="preserve">Animer des ateliers CoC expérientiels, des espaces de réflexion et des sessions thématiques qui renforcent les compétences relationnelles, communicationnelles et éthiques du personnel.</w:t>
            </w:r>
          </w:p>
          <w:p>
            <w:pPr>
              <w:pStyle w:val="ListBullet"/>
              <w:numPr>
                <w:ilvl w:val="0"/>
                <w:numId w:val="17"/>
              </w:numPr>
            </w:pPr>
            <w:r>
              <w:t xml:space="preserve">Soutenir la direction du projet dans l'intégration des principes de CoC dans les routines de gestion, la dynamique d'équipe, les pratiques de communication et la culture de “sécurité psychologique”</w:t>
            </w:r>
          </w:p>
          <w:p>
            <w:pPr>
              <w:pStyle w:val="ListBullet"/>
              <w:numPr>
                <w:ilvl w:val="0"/>
                <w:numId w:val="17"/>
              </w:numPr>
            </w:pPr>
            <w:r>
              <w:t xml:space="preserve">Développer et tester des activités CoC adaptées au contexte, telles que des ateliers thématiques (par exemple, la communication avec les enfants, les interactions en fin de vie, le soutien aux survivants de violences), des séances de réflexion guidée et des exercices de renforcement d'équipe à la suite d'interventions de leadership ou de coaching.</w:t>
            </w:r>
          </w:p>
          <w:p>
            <w:pPr>
              <w:pStyle w:val="ListBullet"/>
              <w:numPr>
                <w:ilvl w:val="0"/>
                <w:numId w:val="17"/>
              </w:numPr>
            </w:pPr>
            <w:r>
              <w:t xml:space="preserve">Promouvoir la sensibilisation, la compréhension et l’appropriation de la CoC parmi le personnel, les départements du projet et les parties prenantes externes, y compris les ministères de la Santé </w:t>
            </w:r>
          </w:p>
          <w:p>
            <w:pPr>
              <w:pStyle w:val="ListBullet"/>
              <w:numPr>
                <w:ilvl w:val="0"/>
                <w:numId w:val="17"/>
              </w:numPr>
            </w:pPr>
            <w:r>
              <w:t xml:space="preserve">Guider et soutenir les interprètes afin de garantir une facilitation des ateliers respectueuse des différences culturelles, précise et efficace.</w:t>
            </w:r>
          </w:p>
          <w:p>
            <w:pPr>
              <w:pStyle w:val="ListBullet"/>
              <w:numPr>
                <w:ilvl w:val="0"/>
                <w:numId w:val="17"/>
              </w:numPr>
            </w:pPr>
            <w:r>
              <w:t xml:space="preserve">Documenter les processus, les défis, les enseignements tirés et les meilleures pratiques en temps réel, en contribuant aux rapports et à la capitalisation au niveau de la mission et du projet pilote, conformément aux protocoles de recherche approuvés et dans le respect des procédures d'étude.</w:t>
            </w:r>
          </w:p>
          <w:p>
            <w:pPr>
              <w:pStyle w:val="ListBullet"/>
              <w:numPr>
                <w:ilvl w:val="0"/>
                <w:numId w:val="17"/>
              </w:numPr>
            </w:pPr>
            <w:r>
              <w:t xml:space="preserve">Participer à la communauté de pratique du CoC et aux plateformes d'apprentissage entre pairs afin de favoriser l'amélioration continue et l'alignement sur les stratégies mondiales du CoC.</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Obligatoire : Diplôme universitaire dans le domaine médical ou paramédical (sciences de la santé, santé publique, psychologie, infirmerie, obstétrique)</w:t>
            </w:r>
          </w:p>
          <w:p>
            <w:pPr>
              <w:pStyle w:val="ListBullet"/>
              <w:numPr>
                <w:ilvl w:val="0"/>
                <w:numId w:val="18"/>
              </w:numPr>
            </w:pPr>
            <w:r>
              <w:t xml:space="preserve">Souhaitable: Formation en facilitation du workshops, en formation des adultes, en mentoring/coaching ou en gestion du changement. Formation formelle en recherche qualitative et quantitative.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rPr>
                <w:b/>
              </w:rPr>
              <w:t xml:space="preserve">Indispensable</w:t>
            </w:r>
            <w:r>
              <w:t xml:space="preserve"> </w:t>
            </w:r>
          </w:p>
          <w:p>
            <w:pPr>
              <w:pStyle w:val="ListBullet"/>
              <w:numPr>
                <w:ilvl w:val="0"/>
                <w:numId w:val="19"/>
              </w:numPr>
            </w:pPr>
            <w:r>
              <w:t xml:space="preserve">Expérience à un poste de leadership/de gestion</w:t>
            </w:r>
          </w:p>
          <w:p>
            <w:pPr>
              <w:pStyle w:val="ListBullet"/>
              <w:numPr>
                <w:ilvl w:val="0"/>
                <w:numId w:val="19"/>
              </w:numPr>
            </w:pPr>
            <w:r>
              <w:t xml:space="preserve">Au moins 2 ans d'expérience en fonctions cliniques en contact direct avec des patients et leurs familles.</w:t>
            </w:r>
          </w:p>
          <w:p>
            <w:pPr>
              <w:pStyle w:val="ListBullet"/>
              <w:numPr>
                <w:ilvl w:val="0"/>
                <w:numId w:val="19"/>
              </w:numPr>
            </w:pPr>
            <w:r>
              <w:t xml:space="preserve">Expérience en matière de qualité des soins, de safeguarding, d'approches centrées sur la personne ou d'initiatives en faveur du bien-être du personnel au sein d'organisations humanitaires/ONG</w:t>
            </w:r>
          </w:p>
          <w:p>
            <w:pPr>
              <w:pStyle w:val="ListBullet"/>
              <w:numPr>
                <w:ilvl w:val="0"/>
                <w:numId w:val="19"/>
              </w:numPr>
            </w:pPr>
            <w:r>
              <w:t xml:space="preserve">Expérience en facilitation de discussions de groupe, en formation ou en développement organisationnel.</w:t>
            </w:r>
          </w:p>
          <w:p>
            <w:pPr>
              <w:pStyle w:val="Paragraph"/>
            </w:pPr>
            <w:r>
              <w:rPr>
                <w:b/>
              </w:rPr>
              <w:t xml:space="preserve">Souhaitable</w:t>
            </w:r>
          </w:p>
          <w:p>
            <w:pPr>
              <w:pStyle w:val="ListBullet"/>
              <w:numPr>
                <w:ilvl w:val="0"/>
                <w:numId w:val="20"/>
              </w:numPr>
            </w:pPr>
            <w:r>
              <w:t xml:space="preserve">Expérience de terrain avec MSF</w:t>
            </w:r>
            <w:r>
              <w:br/>
            </w:r>
            <w:r>
              <w:t xml:space="preserve">
</w:t>
            </w:r>
          </w:p>
          <w:p>
            <w:pPr>
              <w:pStyle w:val="ListBullet"/>
              <w:numPr>
                <w:ilvl w:val="0"/>
                <w:numId w:val="20"/>
              </w:numPr>
            </w:pPr>
            <w:r>
              <w:t xml:space="preserve">Expérience en suivi et évaluation, ou en recherche opérationnelle.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1"/>
              </w:numPr>
            </w:pPr>
            <w:r>
              <w:t xml:space="preserve">La maîtrise de la langue de travail de la mission est indispensable. </w:t>
            </w:r>
          </w:p>
          <w:p>
            <w:pPr>
              <w:pStyle w:val="ListBullet"/>
              <w:numPr>
                <w:ilvl w:val="0"/>
                <w:numId w:val="21"/>
              </w:numPr>
            </w:pPr>
            <w:r>
              <w:t xml:space="preserve">Yémen : anglais et arabe indispensables</w:t>
            </w:r>
          </w:p>
          <w:p>
            <w:pPr>
              <w:pStyle w:val="ListBullet"/>
              <w:numPr>
                <w:ilvl w:val="0"/>
                <w:numId w:val="21"/>
              </w:numPr>
            </w:pPr>
            <w:r>
              <w:t xml:space="preserve">Mali: l'anglais et le français + Peul sont indispensables</w:t>
            </w:r>
          </w:p>
          <w:p>
            <w:pPr>
              <w:pStyle w:val="ListBullet"/>
              <w:numPr>
                <w:ilvl w:val="0"/>
                <w:numId w:val="21"/>
              </w:numPr>
            </w:pPr>
            <w:r>
              <w:t xml:space="preserve">Tchad : l'anglais, le français et l'arabe sont indispensables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Maîtrise indispensable de l'informatique (MS Word, MS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2"/>
              </w:numPr>
            </w:pPr>
            <w:r>
              <w:t xml:space="preserve">Adhésion aux principes de MSF </w:t>
            </w:r>
          </w:p>
          <w:p>
            <w:pPr>
              <w:pStyle w:val="ListBullet"/>
              <w:numPr>
                <w:ilvl w:val="0"/>
                <w:numId w:val="22"/>
              </w:numPr>
            </w:pPr>
            <w:r>
              <w:t xml:space="preserve">Orientation vers les résultats et la qualité </w:t>
            </w:r>
          </w:p>
          <w:p>
            <w:pPr>
              <w:pStyle w:val="ListBullet"/>
              <w:numPr>
                <w:ilvl w:val="0"/>
                <w:numId w:val="22"/>
              </w:numPr>
            </w:pPr>
            <w:r>
              <w:t xml:space="preserve">Rédaction, présentation et animation</w:t>
            </w:r>
          </w:p>
          <w:p>
            <w:pPr>
              <w:pStyle w:val="ListBullet"/>
              <w:numPr>
                <w:ilvl w:val="0"/>
                <w:numId w:val="22"/>
              </w:numPr>
            </w:pPr>
            <w:r>
              <w:t xml:space="preserve">Travail d'équipe et coopération </w:t>
            </w:r>
          </w:p>
          <w:p>
            <w:pPr>
              <w:pStyle w:val="ListBullet"/>
              <w:numPr>
                <w:ilvl w:val="0"/>
                <w:numId w:val="22"/>
              </w:numPr>
            </w:pPr>
            <w:r>
              <w:t xml:space="preserve">Orientation vers le service</w:t>
            </w:r>
          </w:p>
          <w:p>
            <w:pPr>
              <w:pStyle w:val="ListBullet"/>
              <w:numPr>
                <w:ilvl w:val="0"/>
                <w:numId w:val="22"/>
              </w:numPr>
            </w:pPr>
            <w:r>
              <w:t xml:space="preserve">Sensibilité interculturelle</w:t>
            </w:r>
          </w:p>
          <w:p>
            <w:pPr>
              <w:pStyle w:val="ListBullet"/>
              <w:numPr>
                <w:ilvl w:val="0"/>
                <w:numId w:val="22"/>
              </w:numPr>
            </w:pPr>
            <w:r>
              <w:t xml:space="preserve">Planification et organisation</w:t>
            </w:r>
          </w:p>
          <w:p>
            <w:pPr>
              <w:pStyle w:val="ListBullet"/>
              <w:numPr>
                <w:ilvl w:val="0"/>
                <w:numId w:val="22"/>
              </w:numPr>
            </w:pPr>
            <w:r>
              <w:t xml:space="preserve">Flexibilité comportementale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