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HR COORDINATOR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FINANCE AND HR COORDINATOR ASSISTANT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Human Resources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Human Resources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 general administrative procedures in order to ensure documentary traceability as well as compliance with local labour and fiscal regulations, under the HR Coordinator’s supervision.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Following the HR Co’s instructions, supervise that the internal regulations are followed in the mission in order to ensure both tax and labour regulation compliance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Execute recruitment activities ensuring transparency and equity and issuing job offers conveniently in order to meet HR needs.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all the new staff on Staff Regulations, HR policies and regulations and/or living conditions in order to facilitate staff integration and their security.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Execute, under the HR Coordinator supervision, employee contract related activities (file opening and formal documentation archiving, personal data updating, amendments, termination dates supervision, etc.) in order to ensure legal compliance.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 and explain contract terms and the content of Internal regulation (rights and obligations) to newly recruited personnel in order to ensure legal compliance and local integration.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the variable pay slip elements on Homere (paid holidays, sick leave, unpaid leave, etc.) in order to ensure accurate and on time payroll payment.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 the payroll process, checking the list of employees and amounts payable (variable pay, taxes, social securities contributions, etc.) in order to ensure accuracy and on time payroll payment.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Follow-up cost of living on a regular basis.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Register applicants to training activities and help the HR Coordinator to evaluate the results in order to improve return on training expenditures.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HR Coordinator to draw up annual holiday planning in order to schedule staff shifts and cover operational needs.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 project budget execution in order to detect deviations and recommend corrections.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Organizes travel and files of all Staff arriving/departing the Mission, including International Staff documentation (visas, MSF card, Mission Orders, etc.), booking and purchasing plane tickets, keeping / renewing passports and organizing briefings / induction.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all staff have valid work, stay, travel permits.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Ensures staff travelling through the capital is picked up, has appropriate papers and a place to stay.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Desirable, degree in finance, business or administration related studies.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Essential, working experience of at least two years in relevant jobs.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experience with MSF or other NGOs in developing countries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