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PROMOTION DE LA SANTÉ/ AGENT IEC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HP-IEC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HP-IEC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Mettre en œuvre des activités de promotion de la santé / IEC (Information, Education, Communication)à l’attention des patients et de la population locale afin d’améliorer leurs connaissances et leurs compétences à propos de thèmes médicaux correspondants.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les patients et les communautés de la mission de MSF et des services que l’organisation fournit.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des informations aux patients et aux communautés à propos de sujets spécifiques liés à la santé conformément aux priorités médicales.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Mettre en œuvre les activités d’éducation et de sensibilisation à la santé (sessions dans les écoles, églises, communautés) en suivant les indications et en étant sous la supervision du superviseur HP.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Évaluer l’impact des activités (à l’aide de questions, vérifications et observations des comportements) sous la direction du superviseur HP et lui signaler les problèmes, les réussites et les contraintes.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Réunir tout type d’informations liées aux conditions de santé et de vie de la population, notamment afin d’identifier les populations les plus vulnérables à cibler.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Signaler au superviseur HP les activités réalisées ainsi que les problèmes, forces et contraintes auxquels l’agent fait face.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Pour le compte de l’OCBA: établir et entretenir des contacts avec les partenaires sociaux, notamment les ONG et services de santé gouvernementaux qui peuvent fournir une réponse aux problèmes sociaux.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Pour le compte de l’OCBA: nettoyer et ranger les espaces dédiés à l’éducation et la communication et mettre à disposition les supports professionnels.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Pour le compte de l’OCBA: participer à la création de tout support nécessaire à la réalisation des activités d’information, d’éducation et de communication.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Certain niveau d’éducation en sciences sociales, communication sociale, soins infirmiers ou enseignement.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Nécessité de suivre une formation MSF interne à propos des messages de santé.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Précédente expérience souhaitable dans le domaine de l’enseignement, des soins infirmiers ou de l’action sociale, mobilisation communautaire (au moins deux ans pour l’OCBA).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