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GIS REGIONAL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REGIONAL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w:t>
            </w:r>
          </w:p>
          <w:p>
            <w:pPr>
              <w:pStyle w:val="ListBullet"/>
              <w:numPr>
                <w:ilvl w:val="0"/>
                <w:numId w:val="19"/>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Geographic information systems </w:t>
            </w:r>
            <w:r>
              <w:rPr>
                <w:b/>
              </w:rPr>
              <w:t xml:space="preserve">L4</w:t>
            </w:r>
            <w:r>
              <w:t xml:space="preserve">
</w:t>
            </w:r>
          </w:p>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Service Orientation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